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AB" w:rsidRDefault="009B690F">
      <w:r>
        <w:rPr>
          <w:rFonts w:ascii="Open Sans" w:hAnsi="Open Sans"/>
          <w:color w:val="444444"/>
          <w:sz w:val="21"/>
          <w:szCs w:val="21"/>
          <w:shd w:val="clear" w:color="auto" w:fill="FFFFFF"/>
        </w:rPr>
        <w:t>Steve Cable is the Senior Vice President of Probe Ministries. He speaks for Probe conferences and writes for the national Probe radio broadcast. He also assists in developing strategies to expand the impact of Probe’s resources in the U.S. and abroad. Prior to joining Probe, Steve spent over 25 years in the telecommunications industry. Steve and his wife Patti have served as Bible teachers for over 35 years, helping people apply God’s word to every aspect of their lives. Steve has extensive, practical experience applying a Christian worldview to the dynamic, competitive high-tech world that is rapidly becoming a dominant aspect of our society.</w:t>
      </w:r>
    </w:p>
    <w:sectPr w:rsidR="008019A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90F"/>
    <w:rsid w:val="008019AB"/>
    <w:rsid w:val="009B69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Company>Toshiba</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2015-03-14T00:12:00Z</dcterms:created>
  <dcterms:modified xsi:type="dcterms:W3CDTF">2015-03-14T00:12:00Z</dcterms:modified>
</cp:coreProperties>
</file>